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作文批改 · 需人工复核名单（OCR 置信度 &lt;80%）</w:t>
      </w:r>
    </w:p>
    <w:p>
      <w:r>
        <w:rPr>
          <w:rFonts w:ascii="Calibri" w:hAnsi="Calibri" w:eastAsia="微软雅黑"/>
          <w:b w:val="0"/>
          <w:sz w:val="20"/>
        </w:rPr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姓名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OCR 置信度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待确认处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建议动作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岑语汐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72%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10 处字迹（原文以 □ 标出）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调阅原卷核对后推送评语；内容预估 82+，书写 12——重点辅导书写而非内容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sz w:val="20"/>
        </w:rPr>
        <w:t>其余 49 份置信度 ≥80%，评语可直接推送（教师终审后）。</w:t>
      </w:r>
    </w:p>
    <w:p>
      <w:r>
        <w:rPr>
          <w:rFonts w:ascii="Calibri" w:hAnsi="Calibri" w:eastAsia="微软雅黑"/>
          <w:b/>
          <w:sz w:val="20"/>
        </w:rPr>
        <w:t>"一半的天是湿的，一半的天是干的"——复核时请把这句原样保留，这是全班最好的句子之一。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